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附</w:t>
      </w:r>
      <w:r>
        <w:rPr>
          <w:rFonts w:hint="eastAsia" w:ascii="宋体" w:hAnsi="宋体"/>
          <w:sz w:val="24"/>
          <w:szCs w:val="24"/>
          <w:lang w:eastAsia="zh-CN"/>
        </w:rPr>
        <w:t>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</w:p>
    <w:p>
      <w:pPr>
        <w:overflowPunct w:val="0"/>
        <w:snapToGrid w:val="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学院技能大赛教学能力比赛评分指标</w:t>
      </w:r>
      <w:bookmarkStart w:id="0" w:name="_GoBack"/>
      <w:bookmarkEnd w:id="0"/>
    </w:p>
    <w:p>
      <w:pPr>
        <w:overflowPunct w:val="0"/>
        <w:rPr>
          <w:rFonts w:ascii="黑体" w:hAnsi="黑体" w:eastAsia="黑体"/>
          <w:szCs w:val="21"/>
        </w:rPr>
      </w:pPr>
    </w:p>
    <w:p>
      <w:pPr>
        <w:overflowPunct w:val="0"/>
        <w:spacing w:after="120" w:afterLines="5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一、公共基础课程组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838"/>
        <w:gridCol w:w="7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tblHeader/>
          <w:jc w:val="center"/>
        </w:trPr>
        <w:tc>
          <w:tcPr>
            <w:tcW w:w="74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评价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指标</w:t>
            </w:r>
          </w:p>
        </w:tc>
        <w:tc>
          <w:tcPr>
            <w:tcW w:w="83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分值</w:t>
            </w:r>
          </w:p>
        </w:tc>
        <w:tc>
          <w:tcPr>
            <w:tcW w:w="704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8" w:hRule="atLeast"/>
          <w:jc w:val="center"/>
        </w:trPr>
        <w:tc>
          <w:tcPr>
            <w:tcW w:w="74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目标</w:t>
            </w:r>
          </w:p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学情</w:t>
            </w:r>
          </w:p>
        </w:tc>
        <w:tc>
          <w:tcPr>
            <w:tcW w:w="83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20</w:t>
            </w:r>
          </w:p>
        </w:tc>
        <w:tc>
          <w:tcPr>
            <w:tcW w:w="704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适应新时代对技术技能人才培养的新要求，中职组作品应符合教育部发布的《中等职业学校公共基础课程方案》、公共基础课程标准有关要求，紧扣学校专业人才培养方案和课程教学安排，强调培育学生的学习能力、信息素养、精益求精的工匠精神和爱岗敬业的劳动态度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2.教学目标表述明确、相互关联，重点突出、可评可测。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客观分析学生的知识基础、认知能力、学习特点等，详实反映学生整体与个体情况数据，准确预判教学难点及其掌握可能。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1" w:hRule="atLeast"/>
          <w:jc w:val="center"/>
        </w:trPr>
        <w:tc>
          <w:tcPr>
            <w:tcW w:w="74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内容</w:t>
            </w:r>
          </w:p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与</w:t>
            </w:r>
          </w:p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策略</w:t>
            </w:r>
          </w:p>
        </w:tc>
        <w:tc>
          <w:tcPr>
            <w:tcW w:w="83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20</w:t>
            </w:r>
          </w:p>
        </w:tc>
        <w:tc>
          <w:tcPr>
            <w:tcW w:w="704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1.联系时代发展和社会生活，结合课程特点有机融入劳动教育内容，融通专业课程和职业能力，培育创新意识；思政课程充分反映马克思主义中国化最新成果，其他课程注重落实课程思政要求。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2.教学内容有效支撑教学目标的实现，选择科学严谨、容量适度，安排合理、衔接有序、结构清晰。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3.教材选用符合规定，配套提供丰富、优质的学习资源，教案完整、规范、简明、真实。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4.教学过程系统优化，流程环节构思得当，技术应用预想合理，方法手段设计恰当，评价考核考虑周全。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74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实施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与</w:t>
            </w:r>
          </w:p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成效</w:t>
            </w:r>
          </w:p>
        </w:tc>
        <w:tc>
          <w:tcPr>
            <w:tcW w:w="83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30</w:t>
            </w:r>
          </w:p>
        </w:tc>
        <w:tc>
          <w:tcPr>
            <w:tcW w:w="704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1.体现先进教育思想和教学理念，遵循学生认知规律，符合课堂教学实际。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2.按照教学设计实施教学，关注重点、难点的解决，能够针对学习反馈及时调整教学，突出学生中心，实行因材施教。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3.教学环境满足需求，教学活动开展有序，教学互动广泛深入，教学气氛生动活泼。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4.关注教与学全过程信息采集，针对目标要求开展考核与评价。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5.合理运用信息技术、数字资源、信息化教学设施设备提高教学与管理成效。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3" w:hRule="atLeast"/>
          <w:jc w:val="center"/>
        </w:trPr>
        <w:tc>
          <w:tcPr>
            <w:tcW w:w="74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教学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素养</w:t>
            </w:r>
          </w:p>
        </w:tc>
        <w:tc>
          <w:tcPr>
            <w:tcW w:w="83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15</w:t>
            </w:r>
          </w:p>
        </w:tc>
        <w:tc>
          <w:tcPr>
            <w:tcW w:w="704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1.</w:t>
            </w:r>
            <w:r>
              <w:rPr>
                <w:rFonts w:hint="eastAsia" w:ascii="宋体" w:hAnsi="宋体"/>
                <w:sz w:val="24"/>
                <w:szCs w:val="28"/>
              </w:rPr>
              <w:t>充分展现新时代职业院校教师良好的师德师风、教学技能和信息素养，发挥教学团队协作优势。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2.教师课堂教学态度认真、严谨规范、表述清晰、亲和力强。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3.</w:t>
            </w:r>
            <w:r>
              <w:rPr>
                <w:rFonts w:hint="eastAsia" w:ascii="宋体" w:hAnsi="宋体"/>
                <w:sz w:val="24"/>
                <w:szCs w:val="28"/>
              </w:rPr>
              <w:t>教学实施报告客观记载、真实反映、深刻反思教与学的成效与不足，提出教学设计与课堂实施的改进设想。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4.决赛现场展示与答辩聚焦主题、科学准确、思路清晰、逻辑严谨、研究深入、手段得当、简洁明了、表达流畅。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74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特色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创新</w:t>
            </w:r>
          </w:p>
        </w:tc>
        <w:tc>
          <w:tcPr>
            <w:tcW w:w="83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15</w:t>
            </w:r>
          </w:p>
        </w:tc>
        <w:tc>
          <w:tcPr>
            <w:tcW w:w="704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1.能够引导学生树立正确的理想信念、学会正确的思维方法、培育正确的劳动观念、增强学生职业荣誉感。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2.能够创新教学模式，给学生深刻的学习体验。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3.能够与时俱进地提高信息技术应用能力、教研科研能力。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4.具有较大的借鉴和推广价值。</w:t>
            </w:r>
          </w:p>
        </w:tc>
      </w:tr>
    </w:tbl>
    <w:p>
      <w:pPr>
        <w:overflowPunct w:val="0"/>
        <w:rPr>
          <w:rFonts w:ascii="黑体" w:hAnsi="黑体" w:eastAsia="黑体"/>
          <w:szCs w:val="21"/>
        </w:rPr>
      </w:pPr>
    </w:p>
    <w:p>
      <w:pPr>
        <w:overflowPunct w:val="0"/>
        <w:spacing w:before="120" w:beforeLines="50" w:after="120" w:afterLines="50"/>
        <w:rPr>
          <w:rFonts w:ascii="宋体" w:hAnsi="宋体" w:eastAsia="宋体"/>
          <w:sz w:val="32"/>
        </w:rPr>
      </w:pPr>
      <w:r>
        <w:rPr>
          <w:rFonts w:hint="eastAsia" w:ascii="黑体" w:hAnsi="黑体" w:eastAsia="黑体"/>
          <w:sz w:val="32"/>
        </w:rPr>
        <w:t>二、专业（技能）课程组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0"/>
        <w:gridCol w:w="7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8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评价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指标</w:t>
            </w:r>
          </w:p>
        </w:tc>
        <w:tc>
          <w:tcPr>
            <w:tcW w:w="85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分值</w:t>
            </w:r>
          </w:p>
        </w:tc>
        <w:tc>
          <w:tcPr>
            <w:tcW w:w="710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5" w:hRule="atLeast"/>
          <w:jc w:val="center"/>
        </w:trPr>
        <w:tc>
          <w:tcPr>
            <w:tcW w:w="8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目标</w:t>
            </w:r>
          </w:p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与</w:t>
            </w:r>
          </w:p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学情</w:t>
            </w:r>
          </w:p>
        </w:tc>
        <w:tc>
          <w:tcPr>
            <w:tcW w:w="85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710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适应新时代对技术技能人才培养的新要求，符合教育部发布的专业教学标准、实训教学条件建设标准（仪器设备装备规范）、顶岗实习标准等有关要求，涉及1+X证书制度试点的专业，还应对接有关职业技能等级标准。紧扣学校专业人才培养方案和课程标准，强调培育学生的学习能力、信息素养、职业能力、精益求精的工匠精神和爱岗敬业的劳动态度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2.教学目标表述明确、相互关联，重点突出、可评可测。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客观分析学生的知识和技能基础、认知和实践能力、学习特点等，详实反映学生整体与个体情况数据，准确预判教学难点及其掌握可能。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6" w:hRule="atLeast"/>
          <w:jc w:val="center"/>
        </w:trPr>
        <w:tc>
          <w:tcPr>
            <w:tcW w:w="8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内容</w:t>
            </w:r>
          </w:p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与</w:t>
            </w:r>
          </w:p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策略</w:t>
            </w:r>
          </w:p>
        </w:tc>
        <w:tc>
          <w:tcPr>
            <w:tcW w:w="85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710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能够有机融入思想政治教育元素，落实课程思政要求，及时反映相关领域产业升级的新技术、新工艺、新规范，结合课程特点有机融入劳动教育内容，开展劳动精神、劳模精神、工匠精神专题教育。针对基于职业工作过程建设模块化课程的需求，优化教学内容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2.教学内容有效支撑教学目标的实现，选择科学严谨、容量适度，安排合理、衔接有序、结构清晰。实训教学内容源于真实工作任务、项目或工作流程、过程等。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3.教材选用符合规定，补充引用生产实际案例，配套提供丰富、优质的学习资源，教案完整、规范、简明、真实。</w:t>
            </w:r>
          </w:p>
          <w:p>
            <w:pPr>
              <w:overflowPunct w:val="0"/>
              <w:snapToGrid w:val="0"/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</w:t>
            </w:r>
            <w:r>
              <w:rPr>
                <w:rFonts w:hint="eastAsia" w:ascii="宋体" w:hAnsi="宋体"/>
                <w:sz w:val="24"/>
                <w:szCs w:val="24"/>
              </w:rPr>
              <w:t>根据项目式、案例式等教学需要，教学过程系统优化，流程环节构思得当，技术应用预想合理，方法手段设计恰当，评价考核考虑周全。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6" w:hRule="atLeast"/>
          <w:jc w:val="center"/>
        </w:trPr>
        <w:tc>
          <w:tcPr>
            <w:tcW w:w="8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成效</w:t>
            </w:r>
          </w:p>
        </w:tc>
        <w:tc>
          <w:tcPr>
            <w:tcW w:w="85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710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1.体现先进教育思想和教学理念，遵循学生认知规律，符合课堂教学实际，落实德技并修、工学结合。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2.按照教学设计实施教学，关注技术技能教学重点、难点的解决，能够针对学习和实践反馈及时调整教学，突出学生中心，强调知行合一，实行因材施教。针对不同生源特点，体现灵活的教学组织形式。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3.教学环境满足需求，教学活动安全有序，教学互动广泛深入，教学气氛生动活泼。</w:t>
            </w:r>
          </w:p>
          <w:p>
            <w:pPr>
              <w:overflowPunct w:val="0"/>
              <w:snapToGrid w:val="0"/>
              <w:spacing w:line="21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.关注教与学全过程的信息采集，针对目标要求开展教学与实践的考核与评价。</w:t>
            </w:r>
          </w:p>
          <w:p>
            <w:pPr>
              <w:overflowPunct w:val="0"/>
              <w:snapToGrid w:val="0"/>
              <w:spacing w:line="21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5.合理运用云计算、大数据、物联网、虚拟仿真、增强现实、人工智能、区块链等信息技术以及数字资源、信息化教学设施设备改造传统教学与实践方式、提高管理成效。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atLeast"/>
          <w:jc w:val="center"/>
        </w:trPr>
        <w:tc>
          <w:tcPr>
            <w:tcW w:w="8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素养</w:t>
            </w:r>
          </w:p>
        </w:tc>
        <w:tc>
          <w:tcPr>
            <w:tcW w:w="85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710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1.充分展现新时代职业院校教师良好的师德师风、教学技能、实践能力和信息素养，发挥教学团队协作优势。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2.课堂教学态度认真、严谨规范、表述清晰、亲和力强。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3.实训教学讲解和操作配合恰当，规范娴熟、示范有效，符合职业岗位要求，展现良好“双师”素养。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4.教学实施报告客观记载、真实反映、深刻反思理论、实践教与学的成效与不足，提出教学设计与课堂实施的改进设想。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5.决赛现场展示与答辩聚焦主题、科学准确、思路清晰、逻辑严谨、研究深入、手段得当、简洁明了、表达流畅。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81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特色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创新</w:t>
            </w:r>
          </w:p>
        </w:tc>
        <w:tc>
          <w:tcPr>
            <w:tcW w:w="85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710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overflowPunct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1.能够引导学生树立正确的理想信念、学会正确的思维方法、培育正确的劳动观念、增强学生职业荣誉感。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2.能够创新教学与实训模式，给学生深刻的学习与实践体验。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3.能够与时俱进地更新专业知识、积累实践技能、提高信息技术应用能力和教研科研能力。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4.具有较大的借鉴和推广价值。</w:t>
            </w:r>
          </w:p>
        </w:tc>
      </w:tr>
    </w:tbl>
    <w:p>
      <w:pPr>
        <w:overflowPunct w:val="0"/>
        <w:rPr>
          <w:rFonts w:ascii="宋体" w:hAnsi="宋体"/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left" w:pos="6120"/>
      </w:tabs>
      <w:jc w:val="center"/>
    </w:pPr>
    <w:r>
      <w:rPr>
        <w:rFonts w:ascii="Times New Roman" w:hAnsi="Times New Roman"/>
        <w:lang w:val="zh-CN"/>
      </w:rPr>
      <w:t xml:space="preserve"> </w:t>
    </w:r>
    <w:r>
      <w:rPr>
        <w:rFonts w:ascii="Times New Roman" w:hAnsi="Times New Roman" w:eastAsia="宋体"/>
        <w:sz w:val="28"/>
        <w:szCs w:val="28"/>
      </w:rPr>
      <w:fldChar w:fldCharType="begin"/>
    </w:r>
    <w:r>
      <w:rPr>
        <w:rFonts w:ascii="Times New Roman" w:hAnsi="Times New Roman" w:eastAsia="宋体"/>
        <w:sz w:val="28"/>
        <w:szCs w:val="28"/>
      </w:rPr>
      <w:instrText xml:space="preserve">PAGE  \* Arabic  \* MERGEFORMAT</w:instrText>
    </w:r>
    <w:r>
      <w:rPr>
        <w:rFonts w:ascii="Times New Roman" w:hAnsi="Times New Roman" w:eastAsia="宋体"/>
        <w:sz w:val="28"/>
        <w:szCs w:val="28"/>
      </w:rPr>
      <w:fldChar w:fldCharType="separate"/>
    </w:r>
    <w:r>
      <w:rPr>
        <w:rFonts w:ascii="Times New Roman" w:hAnsi="Times New Roman" w:eastAsia="宋体"/>
        <w:sz w:val="28"/>
        <w:szCs w:val="28"/>
        <w:lang w:val="zh-CN"/>
      </w:rPr>
      <w:t>1</w:t>
    </w:r>
    <w:r>
      <w:rPr>
        <w:rFonts w:ascii="Times New Roman" w:hAnsi="Times New Roman" w:eastAsia="宋体"/>
        <w:sz w:val="28"/>
        <w:szCs w:val="28"/>
      </w:rPr>
      <w:fldChar w:fldCharType="end"/>
    </w:r>
    <w:r>
      <w:rPr>
        <w:rFonts w:ascii="Times New Roman" w:hAnsi="Times New Roman" w:eastAsia="宋体"/>
        <w:sz w:val="28"/>
        <w:szCs w:val="28"/>
        <w:lang w:val="zh-CN"/>
      </w:rPr>
      <w:t xml:space="preserve"> / </w:t>
    </w:r>
    <w:r>
      <w:rPr>
        <w:rFonts w:ascii="Times New Roman" w:hAnsi="Times New Roman" w:eastAsia="宋体"/>
        <w:sz w:val="28"/>
        <w:szCs w:val="28"/>
      </w:rPr>
      <w:fldChar w:fldCharType="begin"/>
    </w:r>
    <w:r>
      <w:rPr>
        <w:rFonts w:ascii="Times New Roman" w:hAnsi="Times New Roman" w:eastAsia="宋体"/>
        <w:sz w:val="28"/>
        <w:szCs w:val="28"/>
      </w:rPr>
      <w:instrText xml:space="preserve">NUMPAGES  \* Arabic  \* MERGEFORMAT</w:instrText>
    </w:r>
    <w:r>
      <w:rPr>
        <w:rFonts w:ascii="Times New Roman" w:hAnsi="Times New Roman" w:eastAsia="宋体"/>
        <w:sz w:val="28"/>
        <w:szCs w:val="28"/>
      </w:rPr>
      <w:fldChar w:fldCharType="separate"/>
    </w:r>
    <w:r>
      <w:rPr>
        <w:rFonts w:ascii="Times New Roman" w:hAnsi="Times New Roman" w:eastAsia="宋体"/>
        <w:sz w:val="28"/>
        <w:szCs w:val="28"/>
        <w:lang w:val="zh-CN"/>
      </w:rPr>
      <w:t>37</w:t>
    </w:r>
    <w:r>
      <w:rPr>
        <w:rFonts w:ascii="Times New Roman" w:hAnsi="Times New Roman" w:eastAsia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94DB7"/>
    <w:rsid w:val="1F894DB7"/>
    <w:rsid w:val="3BE0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2020-12-24T07:35:00Z</dcterms:created>
  <dc:creator>蓝瑞荣</dc:creator>
  <cp:lastModifiedBy>蓝瑞荣</cp:lastModifiedBy>
  <dcterms:modified xsi:type="dcterms:W3CDTF">2020-12-24T07:38:21Z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