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DF25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760" w:lineRule="atLeast"/>
        <w:ind w:left="0" w:firstLine="0" w:firstLineChars="0"/>
        <w:jc w:val="both"/>
        <w:textAlignment w:val="auto"/>
        <w:rPr>
          <w:rFonts w:hint="eastAsia" w:ascii="方正小标宋简体" w:hAnsi="方正小标宋简体" w:eastAsia="黑体" w:cs="方正小标宋简体"/>
          <w:b w:val="0"/>
          <w:bCs w:val="0"/>
          <w:i w:val="0"/>
          <w:iCs w:val="0"/>
          <w:caps w:val="0"/>
          <w:color w:val="111133"/>
          <w:spacing w:val="1"/>
          <w:kern w:val="0"/>
          <w:sz w:val="44"/>
          <w:szCs w:val="44"/>
          <w:lang w:val="en-US" w:eastAsia="zh-CN" w:bidi="ar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5B7352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760" w:lineRule="atLeast"/>
        <w:ind w:left="0" w:firstLine="0" w:firstLine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11133"/>
          <w:spacing w:val="1"/>
          <w:kern w:val="0"/>
          <w:sz w:val="44"/>
          <w:szCs w:val="44"/>
          <w:lang w:val="en-US" w:eastAsia="zh-CN" w:bidi="ar"/>
        </w:rPr>
        <w:t>省职教城校际共建共享微技能课程验收指标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7"/>
        <w:gridCol w:w="1098"/>
        <w:gridCol w:w="6330"/>
        <w:gridCol w:w="710"/>
      </w:tblGrid>
      <w:tr w14:paraId="18087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blHeader/>
          <w:jc w:val="center"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428A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一级指标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86C0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2A1D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验收要点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258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分值</w:t>
            </w:r>
          </w:p>
        </w:tc>
      </w:tr>
      <w:tr w14:paraId="7C495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E6D7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整体设计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AA27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课程思政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7BB6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深入挖掘课程中蕴含的思政教育元素，将价值引领、社会责任、工匠精神、创新思维等有机融入课程内容与教学全过程。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课程思政目标明确，落实到课程标准、教案、课件等教学文件中。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在课堂讲授、案例分析、项目实践、讨论研讨等环节有效实施课程思政，实现知识传授、能力培养与价值引领的统一。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E8F7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</w:tr>
      <w:tr w14:paraId="7557D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2F63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DCD4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课程定位与目标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3325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课程定位清晰，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对接职业技能标准、行业发展趋势、“1+X”证书等要求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对人才培养目标或学生综合素养提升具有明确的支撑作用。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与行业产业岗位需求有机结合，从知识、技能、素养（含创新、责任、审美等）等方面明确课程教学目标，注重培养学生的可持续发展能力。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DC8DE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</w:tr>
      <w:tr w14:paraId="465E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DA50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教学内容与资源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2B2F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课程内容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C6EE0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）课程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内容反映新产业、新业态、新模式、新职业的要求，体现行业最新技术、工艺、规范。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以实际项目、案例、活动为载体，按照项目化、任务驱动思路设计教学内容，实现“教、学、做”一体化。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“课证融通、赛教融通”有机结合，科学设计学习性工作任务，内容组织与安排凸显职业教育类型特征。</w:t>
            </w:r>
          </w:p>
          <w:p w14:paraId="01CEDA7C"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jc w:val="left"/>
              <w:textAlignment w:val="auto"/>
              <w:rPr>
                <w:rFonts w:hint="eastAsia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（4）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重视学习任务与活动设计，课程设计、教学安排和呈现方式符合学生认知规律。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87A6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6DFFA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D892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0083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课程资源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DE6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课程资源以自主设计与开发为主，教学教案、课件、授课视频、动画、虚拟仿真、演示文稿等教学文件齐全，格式统一规范，重难点突出。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资源类型丰富多样，包括但不限于案例库（含企业真实案例）、在线测验、作业系统、素材资料库、学生作品库等。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课程资源形成围绕知识技能点展开的完整体系，科学标注资源属性，支持学生课前预习、课中学习、课后复习的全过程，线上线下教学支持能力强。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B151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  <w:tr w14:paraId="424C8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393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教学实施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4E03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教学模式与方法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22E63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坚持以“学生为中心”，合理运用微视频、动画、虚拟仿真、AI、大数据等数字技术。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科学设计教学模式，恰当进行课程导入，课程重点难点讲授准确全面，合理使用案例式、混合式、探究式等多种教学模式。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6845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68162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9A92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D74E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教学组织与互动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DA7A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教学进度安排合理，教学组织有序，重点难点讲授准确全面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注重教学互动、激发学生学习积极性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提供在线测试、即时反馈、作业提交与批改、在线讨论社区等服务，促进师生、生生之间的资源共享与深度互动。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教学过程可回溯，教学过程材料完整，能有效支持个性化学习与协作学习。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332A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3829A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E7A2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考核评价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A6D5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评价体系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C363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建立多元化评价体系，评价主体涵盖学生自评、同伴互评、教师评价等。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将诊断性评价、过程性评价（含线上学习行为数据）、终结性评价有机结合，从知识、技能、素养等多维度进行综合评价。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75FD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</w:tr>
      <w:tr w14:paraId="64D32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B3ED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922F3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评价应用与改进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EDFDF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探索基于大数据的教与学行为分析，全程记录和跟踪教学与学习过程，形成正向反馈机制。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定期开展教学诊断与改进，根据评价结果持续优化课程内容与教学方法。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F729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</w:tr>
      <w:tr w14:paraId="4EC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restart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9872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建设成效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FEE3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学习成效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8537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学生对课程认可度高，学习兴趣浓厚，参与度和获得感强。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学习成果突出，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全面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培养学生的技术技能、创新精神与可持续发展能力。公选课有效提升综合素养与社会责任，专业课成果能对接职业岗位工作要求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5067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12159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vMerge w:val="continue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7A41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7DD6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应用推广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0FE6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在职教城内校际互选教学中应用效果良好，线上线下教学结合紧密，教学质量高。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1"/>
                <w:kern w:val="0"/>
                <w:sz w:val="24"/>
                <w:szCs w:val="24"/>
                <w:lang w:val="en-US" w:eastAsia="zh-CN" w:bidi="ar"/>
              </w:rPr>
              <w:t>课程资源开放共享范围广，可供其他院校引用或借鉴，用户活跃度高，社会影响力大，受益师生反馈、评价高。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2EF7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37FF7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C6BA8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特色创新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110D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  <w:lang w:val="en-US" w:eastAsia="zh-CN"/>
              </w:rPr>
              <w:t>创新与示范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E14C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在课程模式（如产科教融合、校际共建）、教学内容、教学方法、技术应用（如AI助教、数智教学）、评价机制等方面有原创性探索，特色鲜明。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_GB2312" w:hAnsi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有效解决传统教学中的短板问题，形成“可共享、可借鉴、可推广”的高质量课程范式，在同类课程中具有引领示范作用。</w:t>
            </w:r>
          </w:p>
        </w:tc>
        <w:tc>
          <w:tcPr>
            <w:tcW w:w="0" w:type="auto"/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49C6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tLeas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11133"/>
                <w:spacing w:val="1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DB98865">
      <w:pPr>
        <w:ind w:left="0" w:leftChars="0" w:firstLine="0" w:firstLineChars="0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6455E"/>
    <w:rsid w:val="05543BD0"/>
    <w:rsid w:val="0960344D"/>
    <w:rsid w:val="09D12304"/>
    <w:rsid w:val="120E77B1"/>
    <w:rsid w:val="123D7AF8"/>
    <w:rsid w:val="167A4DF2"/>
    <w:rsid w:val="1B255DD7"/>
    <w:rsid w:val="2DC45E9A"/>
    <w:rsid w:val="31E41F2E"/>
    <w:rsid w:val="38D3500A"/>
    <w:rsid w:val="391E4A2F"/>
    <w:rsid w:val="3C3C60E0"/>
    <w:rsid w:val="40345D11"/>
    <w:rsid w:val="414A2F2A"/>
    <w:rsid w:val="41AF06D0"/>
    <w:rsid w:val="43612BE5"/>
    <w:rsid w:val="460937B9"/>
    <w:rsid w:val="46C4001D"/>
    <w:rsid w:val="47FB5210"/>
    <w:rsid w:val="48B30830"/>
    <w:rsid w:val="49464F44"/>
    <w:rsid w:val="4DF92CF9"/>
    <w:rsid w:val="514E66BA"/>
    <w:rsid w:val="534C7EF0"/>
    <w:rsid w:val="56A40B37"/>
    <w:rsid w:val="58EA40F8"/>
    <w:rsid w:val="5999544A"/>
    <w:rsid w:val="62755A16"/>
    <w:rsid w:val="657F0712"/>
    <w:rsid w:val="67EA0B8C"/>
    <w:rsid w:val="6BCB5C2F"/>
    <w:rsid w:val="728E0D03"/>
    <w:rsid w:val="72FB38B5"/>
    <w:rsid w:val="74AB40F8"/>
    <w:rsid w:val="7746455E"/>
    <w:rsid w:val="7D6A5EA2"/>
    <w:rsid w:val="7D7F9C40"/>
    <w:rsid w:val="7FE60B45"/>
    <w:rsid w:val="FFDF9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line="560" w:lineRule="exact"/>
      <w:ind w:firstLine="602" w:firstLineChars="200"/>
    </w:pPr>
    <w:rPr>
      <w:rFonts w:ascii="仿宋" w:hAnsi="仿宋" w:eastAsia="仿宋_GB2312" w:cs="仿宋"/>
      <w:sz w:val="28"/>
      <w:szCs w:val="28"/>
      <w:lang w:val="zh-CN" w:eastAsia="zh-CN" w:bidi="zh-CN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0"/>
    </w:pPr>
    <w:rPr>
      <w:rFonts w:eastAsia="黑体" w:asciiTheme="minorAscii" w:hAnsiTheme="minorAscii"/>
      <w:kern w:val="44"/>
      <w:sz w:val="32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0" w:after="0" w:afterAutospacing="0"/>
      <w:jc w:val="left"/>
      <w:outlineLvl w:val="1"/>
    </w:pPr>
    <w:rPr>
      <w:rFonts w:hint="eastAsia" w:ascii="宋体" w:hAnsi="宋体" w:eastAsia="宋体" w:cs="宋体"/>
      <w:b/>
      <w:bCs/>
      <w:kern w:val="0"/>
      <w:szCs w:val="36"/>
      <w:lang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2"/>
    </w:pPr>
    <w:rPr>
      <w:rFonts w:ascii="仿宋_GB2312" w:hAnsi="仿宋_GB2312" w:cs="仿宋_GB2312"/>
      <w:b/>
      <w:bCs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3"/>
    </w:pPr>
    <w:rPr>
      <w:rFonts w:ascii="仿宋_GB2312" w:hAnsi="仿宋_GB2312"/>
    </w:rPr>
  </w:style>
  <w:style w:type="character" w:default="1" w:styleId="10">
    <w:name w:val="Default Paragraph Font"/>
    <w:autoRedefine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仿宋_GB2312" w:hAnsi="仿宋_GB2312" w:eastAsia="仿宋_GB2312" w:cs="仿宋_GB2312"/>
      <w:sz w:val="28"/>
      <w:szCs w:val="2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 w:eastAsia="方正小标宋简体"/>
      <w:b/>
      <w:sz w:val="44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脚 Char"/>
    <w:basedOn w:val="10"/>
    <w:link w:val="7"/>
    <w:autoRedefine/>
    <w:qFormat/>
    <w:uiPriority w:val="0"/>
    <w:rPr>
      <w:rFonts w:ascii="仿宋_GB2312" w:hAnsi="仿宋_GB2312" w:eastAsia="仿宋_GB2312" w:cs="仿宋_GB2312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1480</Words>
  <Characters>1491</Characters>
  <Lines>0</Lines>
  <Paragraphs>0</Paragraphs>
  <TotalTime>0</TotalTime>
  <ScaleCrop>false</ScaleCrop>
  <LinksUpToDate>false</LinksUpToDate>
  <CharactersWithSpaces>1491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2025-10-11T19:34:00Z</dcterms:created>
  <dc:creator>柯希骏</dc:creator>
  <cp:lastModifiedBy>CC</cp:lastModifiedBy>
  <dcterms:modified xsi:type="dcterms:W3CDTF">2025-10-13T11:05:05Z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A6CB62AF6B204ADB8FE64409FB60A0FE_11</vt:lpwstr>
  </property>
  <property fmtid="{D5CDD505-2E9C-101B-9397-08002B2CF9AE}" pid="4" name="KSOTemplateDocerSaveRecord">
    <vt:lpwstr>eyJoZGlkIjoiYzMzMmUyYzk5ZWU2ZTM4MzJiNzE3ODJmMmFkMjkzOGMiLCJ1c2VySWQiOiIzMDIzOTEyMjIifQ==</vt:lpwstr>
  </property>
</Properties>
</file>